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E8FA1" w14:textId="77777777" w:rsidR="00AF33DF" w:rsidRPr="00AF33DF" w:rsidRDefault="00AF33DF" w:rsidP="00AF33DF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F33DF">
        <w:rPr>
          <w:rFonts w:ascii="Arial" w:eastAsia="Calibri" w:hAnsi="Arial" w:cs="Arial"/>
          <w:b/>
          <w:bCs/>
          <w:sz w:val="24"/>
          <w:szCs w:val="24"/>
        </w:rPr>
        <w:t xml:space="preserve">MEDIDA PROVISÓRIA Nº 1.090, DE 30 DE DEZEMBRO DE </w:t>
      </w:r>
      <w:proofErr w:type="gramStart"/>
      <w:r w:rsidRPr="00AF33DF">
        <w:rPr>
          <w:rFonts w:ascii="Arial" w:eastAsia="Calibri" w:hAnsi="Arial" w:cs="Arial"/>
          <w:b/>
          <w:bCs/>
          <w:sz w:val="24"/>
          <w:szCs w:val="24"/>
        </w:rPr>
        <w:t>2021</w:t>
      </w:r>
      <w:proofErr w:type="gramEnd"/>
    </w:p>
    <w:p w14:paraId="0B78CBD7" w14:textId="77777777" w:rsidR="00AF33DF" w:rsidRPr="00AF33DF" w:rsidRDefault="00AF33DF" w:rsidP="00AF33DF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4309AFF" w14:textId="77777777" w:rsidR="00AF33DF" w:rsidRPr="00AF33DF" w:rsidRDefault="00AF33DF" w:rsidP="00AF33DF">
      <w:pPr>
        <w:spacing w:line="240" w:lineRule="auto"/>
        <w:ind w:left="4253"/>
        <w:jc w:val="both"/>
        <w:rPr>
          <w:rFonts w:ascii="Arial" w:eastAsia="Calibri" w:hAnsi="Arial" w:cs="Arial"/>
          <w:i/>
          <w:sz w:val="24"/>
          <w:szCs w:val="24"/>
        </w:rPr>
      </w:pPr>
      <w:r w:rsidRPr="00AF33DF">
        <w:rPr>
          <w:rFonts w:ascii="Arial" w:eastAsia="Calibri" w:hAnsi="Arial" w:cs="Arial"/>
          <w:i/>
          <w:sz w:val="24"/>
          <w:szCs w:val="24"/>
        </w:rPr>
        <w:t>Estabelece os requisitos e as condições para realização das transações resolutivas de litígio relativas à cobrança de créditos do Fundo de Financiamento Estudantil - Fies e altera a Lei nº 10.260, de 12 de julho de 2001, a Lei nº 10.522, de 19 de julho de 2002, e a Lei nº 12.087, de 11 de novembro de 2009.</w:t>
      </w:r>
    </w:p>
    <w:p w14:paraId="47B702B3" w14:textId="77777777" w:rsidR="00AF33DF" w:rsidRPr="00AF33DF" w:rsidRDefault="00AF33DF" w:rsidP="00AF33DF">
      <w:pPr>
        <w:spacing w:line="240" w:lineRule="auto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14:paraId="5C0C9A29" w14:textId="3EC79C1F" w:rsidR="002D438C" w:rsidRPr="00AF33DF" w:rsidRDefault="000A0A2F" w:rsidP="00AF33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33DF">
        <w:rPr>
          <w:rFonts w:ascii="Arial" w:hAnsi="Arial" w:cs="Arial"/>
          <w:b/>
          <w:bCs/>
          <w:sz w:val="24"/>
          <w:szCs w:val="24"/>
        </w:rPr>
        <w:t xml:space="preserve">EMENDA </w:t>
      </w:r>
      <w:r w:rsidR="0087591C" w:rsidRPr="00AF33DF">
        <w:rPr>
          <w:rFonts w:ascii="Arial" w:hAnsi="Arial" w:cs="Arial"/>
          <w:b/>
          <w:bCs/>
          <w:sz w:val="24"/>
          <w:szCs w:val="24"/>
        </w:rPr>
        <w:t>MODIFICATIVA</w:t>
      </w:r>
    </w:p>
    <w:p w14:paraId="2F5375DE" w14:textId="0043B95B" w:rsidR="000A0A2F" w:rsidRPr="00AF33DF" w:rsidRDefault="0087591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89874543"/>
      <w:r w:rsidRPr="00AF33DF">
        <w:rPr>
          <w:rFonts w:ascii="Arial" w:hAnsi="Arial" w:cs="Arial"/>
          <w:sz w:val="24"/>
          <w:szCs w:val="24"/>
        </w:rPr>
        <w:t xml:space="preserve">O art. </w:t>
      </w:r>
      <w:r w:rsidR="00B27C6C" w:rsidRPr="00AF33DF">
        <w:rPr>
          <w:rFonts w:ascii="Arial" w:hAnsi="Arial" w:cs="Arial"/>
          <w:sz w:val="24"/>
          <w:szCs w:val="24"/>
        </w:rPr>
        <w:t>5º, da Medida Provisória Nº 1.090, de 2021, passa a vigorar com a seguinte redação:</w:t>
      </w:r>
    </w:p>
    <w:p w14:paraId="3D479E69" w14:textId="017A97F2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ab/>
      </w:r>
      <w:proofErr w:type="gramStart"/>
      <w:r w:rsidR="00FA0923" w:rsidRPr="00AF33DF">
        <w:rPr>
          <w:rFonts w:ascii="Arial" w:hAnsi="Arial" w:cs="Arial"/>
          <w:sz w:val="24"/>
          <w:szCs w:val="24"/>
        </w:rPr>
        <w:t>“</w:t>
      </w:r>
      <w:r w:rsidRPr="00AF33DF">
        <w:rPr>
          <w:rFonts w:ascii="Arial" w:hAnsi="Arial" w:cs="Arial"/>
          <w:sz w:val="24"/>
          <w:szCs w:val="24"/>
        </w:rPr>
        <w:t xml:space="preserve">Art. 5º A transação na cobrança de créditos do Fies, celebrada somente </w:t>
      </w:r>
      <w:r w:rsidRPr="00AF33DF">
        <w:rPr>
          <w:rFonts w:ascii="Arial" w:hAnsi="Arial" w:cs="Arial"/>
          <w:sz w:val="24"/>
          <w:szCs w:val="24"/>
        </w:rPr>
        <w:tab/>
        <w:t>por adesão, poderá contemplar os seguintes benefícios:</w:t>
      </w:r>
    </w:p>
    <w:p w14:paraId="50C018D0" w14:textId="6D512096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End"/>
      <w:r w:rsidRPr="00AF33DF">
        <w:rPr>
          <w:rFonts w:ascii="Arial" w:hAnsi="Arial" w:cs="Arial"/>
          <w:sz w:val="24"/>
          <w:szCs w:val="24"/>
        </w:rPr>
        <w:tab/>
        <w:t xml:space="preserve">I - a concessão de descontos no principal, nos juros contratuais, nas </w:t>
      </w:r>
      <w:r w:rsidRPr="00AF33DF">
        <w:rPr>
          <w:rFonts w:ascii="Arial" w:hAnsi="Arial" w:cs="Arial"/>
          <w:sz w:val="24"/>
          <w:szCs w:val="24"/>
        </w:rPr>
        <w:tab/>
        <w:t xml:space="preserve">multas, nos juros de mora e nos encargos legais relativos a créditos a serem </w:t>
      </w:r>
      <w:r w:rsidRPr="00AF33DF">
        <w:rPr>
          <w:rFonts w:ascii="Arial" w:hAnsi="Arial" w:cs="Arial"/>
          <w:sz w:val="24"/>
          <w:szCs w:val="24"/>
        </w:rPr>
        <w:tab/>
        <w:t xml:space="preserve">transacionados classificados como irrecuperáveis ou de difícil recuperação, </w:t>
      </w:r>
      <w:r w:rsidRPr="00AF33DF">
        <w:rPr>
          <w:rFonts w:ascii="Arial" w:hAnsi="Arial" w:cs="Arial"/>
          <w:sz w:val="24"/>
          <w:szCs w:val="24"/>
        </w:rPr>
        <w:tab/>
        <w:t xml:space="preserve">observado o impacto líquido positivo na receita, nos termos do disposto no inciso </w:t>
      </w:r>
      <w:r w:rsidRPr="00AF33DF">
        <w:rPr>
          <w:rFonts w:ascii="Arial" w:hAnsi="Arial" w:cs="Arial"/>
          <w:sz w:val="24"/>
          <w:szCs w:val="24"/>
        </w:rPr>
        <w:tab/>
        <w:t>III do caput do art. 6º;</w:t>
      </w:r>
    </w:p>
    <w:p w14:paraId="4C3A7C74" w14:textId="3434EEB9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ab/>
        <w:t xml:space="preserve">II - a concessão de descontos </w:t>
      </w:r>
      <w:r w:rsidR="001930DC" w:rsidRPr="00AF33DF">
        <w:rPr>
          <w:rFonts w:ascii="Arial" w:hAnsi="Arial" w:cs="Arial"/>
          <w:b/>
          <w:bCs/>
          <w:sz w:val="24"/>
          <w:szCs w:val="24"/>
        </w:rPr>
        <w:t>no principal</w:t>
      </w:r>
      <w:r w:rsidR="001930DC" w:rsidRPr="00AF33DF">
        <w:rPr>
          <w:rFonts w:ascii="Arial" w:hAnsi="Arial" w:cs="Arial"/>
          <w:sz w:val="24"/>
          <w:szCs w:val="24"/>
        </w:rPr>
        <w:t xml:space="preserve">, </w:t>
      </w:r>
      <w:r w:rsidRPr="00AF33DF">
        <w:rPr>
          <w:rFonts w:ascii="Arial" w:hAnsi="Arial" w:cs="Arial"/>
          <w:sz w:val="24"/>
          <w:szCs w:val="24"/>
        </w:rPr>
        <w:t xml:space="preserve">nos juros contratuais, nas </w:t>
      </w:r>
      <w:r w:rsidR="001930DC" w:rsidRPr="00AF33DF">
        <w:rPr>
          <w:rFonts w:ascii="Arial" w:hAnsi="Arial" w:cs="Arial"/>
          <w:sz w:val="24"/>
          <w:szCs w:val="24"/>
        </w:rPr>
        <w:tab/>
      </w:r>
      <w:r w:rsidRPr="00AF33DF">
        <w:rPr>
          <w:rFonts w:ascii="Arial" w:hAnsi="Arial" w:cs="Arial"/>
          <w:sz w:val="24"/>
          <w:szCs w:val="24"/>
        </w:rPr>
        <w:t xml:space="preserve">multas, nos juros de mora e nos encargos legais relativos a créditos a serem </w:t>
      </w:r>
      <w:r w:rsidR="001930DC" w:rsidRPr="00AF33DF">
        <w:rPr>
          <w:rFonts w:ascii="Arial" w:hAnsi="Arial" w:cs="Arial"/>
          <w:sz w:val="24"/>
          <w:szCs w:val="24"/>
        </w:rPr>
        <w:tab/>
      </w:r>
      <w:r w:rsidRPr="00AF33DF">
        <w:rPr>
          <w:rFonts w:ascii="Arial" w:hAnsi="Arial" w:cs="Arial"/>
          <w:sz w:val="24"/>
          <w:szCs w:val="24"/>
        </w:rPr>
        <w:t xml:space="preserve">transacionados classificados como inadimplentes, observado o impacto líquido </w:t>
      </w:r>
      <w:r w:rsidR="001930DC" w:rsidRPr="00AF33DF">
        <w:rPr>
          <w:rFonts w:ascii="Arial" w:hAnsi="Arial" w:cs="Arial"/>
          <w:sz w:val="24"/>
          <w:szCs w:val="24"/>
        </w:rPr>
        <w:tab/>
      </w:r>
      <w:r w:rsidRPr="00AF33DF">
        <w:rPr>
          <w:rFonts w:ascii="Arial" w:hAnsi="Arial" w:cs="Arial"/>
          <w:sz w:val="24"/>
          <w:szCs w:val="24"/>
        </w:rPr>
        <w:t>positivo na</w:t>
      </w:r>
      <w:r w:rsidR="001930DC" w:rsidRPr="00AF33DF">
        <w:rPr>
          <w:rFonts w:ascii="Arial" w:hAnsi="Arial" w:cs="Arial"/>
          <w:sz w:val="24"/>
          <w:szCs w:val="24"/>
        </w:rPr>
        <w:t xml:space="preserve"> </w:t>
      </w:r>
      <w:r w:rsidRPr="00AF33DF">
        <w:rPr>
          <w:rFonts w:ascii="Arial" w:hAnsi="Arial" w:cs="Arial"/>
          <w:sz w:val="24"/>
          <w:szCs w:val="24"/>
        </w:rPr>
        <w:t>receita, nos termos do disposto no inciso III do caput do art. 6º;</w:t>
      </w:r>
    </w:p>
    <w:p w14:paraId="0021BA6F" w14:textId="60E2D39B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ab/>
        <w:t xml:space="preserve">III - o oferecimento de prazos e de formas de pagamento especiais, </w:t>
      </w:r>
      <w:r w:rsidRPr="00AF33DF">
        <w:rPr>
          <w:rFonts w:ascii="Arial" w:hAnsi="Arial" w:cs="Arial"/>
          <w:sz w:val="24"/>
          <w:szCs w:val="24"/>
        </w:rPr>
        <w:tab/>
        <w:t xml:space="preserve">incluídos o diferimento e a moratória; </w:t>
      </w:r>
      <w:proofErr w:type="gramStart"/>
      <w:r w:rsidRPr="00AF33DF">
        <w:rPr>
          <w:rFonts w:ascii="Arial" w:hAnsi="Arial" w:cs="Arial"/>
          <w:sz w:val="24"/>
          <w:szCs w:val="24"/>
        </w:rPr>
        <w:t>e</w:t>
      </w:r>
      <w:proofErr w:type="gramEnd"/>
    </w:p>
    <w:p w14:paraId="128277FC" w14:textId="78DCBD18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ab/>
        <w:t>IV - o oferecimento ou a substituição de garantias.</w:t>
      </w:r>
    </w:p>
    <w:p w14:paraId="1BCCBBD9" w14:textId="4FEB4251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ab/>
        <w:t xml:space="preserve">§ 1º É permitida a utilização de uma ou mais das alternativas previstas </w:t>
      </w:r>
      <w:r w:rsidRPr="00AF33DF">
        <w:rPr>
          <w:rFonts w:ascii="Arial" w:hAnsi="Arial" w:cs="Arial"/>
          <w:sz w:val="24"/>
          <w:szCs w:val="24"/>
        </w:rPr>
        <w:tab/>
        <w:t>nos incisos I a IV do caput para o equacionamento dos créditos.</w:t>
      </w:r>
    </w:p>
    <w:p w14:paraId="184F2B35" w14:textId="0F5BEAC2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ab/>
        <w:t>§ 2º É vedada a transação que:</w:t>
      </w:r>
    </w:p>
    <w:p w14:paraId="213E3F38" w14:textId="38503250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lastRenderedPageBreak/>
        <w:tab/>
        <w:t xml:space="preserve">I - implique redução superior a </w:t>
      </w:r>
      <w:bookmarkStart w:id="1" w:name="_Hlk94620742"/>
      <w:r w:rsidR="00750241" w:rsidRPr="00AF33DF">
        <w:rPr>
          <w:rFonts w:ascii="Arial" w:hAnsi="Arial" w:cs="Arial"/>
          <w:b/>
          <w:bCs/>
          <w:sz w:val="24"/>
          <w:szCs w:val="24"/>
        </w:rPr>
        <w:t>noventa</w:t>
      </w:r>
      <w:r w:rsidRPr="00AF33DF">
        <w:rPr>
          <w:rFonts w:ascii="Arial" w:hAnsi="Arial" w:cs="Arial"/>
          <w:b/>
          <w:bCs/>
          <w:sz w:val="24"/>
          <w:szCs w:val="24"/>
        </w:rPr>
        <w:t xml:space="preserve"> por</w:t>
      </w:r>
      <w:r w:rsidR="00750241" w:rsidRPr="00AF3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33DF">
        <w:rPr>
          <w:rFonts w:ascii="Arial" w:hAnsi="Arial" w:cs="Arial"/>
          <w:b/>
          <w:bCs/>
          <w:sz w:val="24"/>
          <w:szCs w:val="24"/>
        </w:rPr>
        <w:t>cento</w:t>
      </w:r>
      <w:bookmarkEnd w:id="1"/>
      <w:r w:rsidRPr="00AF3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33DF">
        <w:rPr>
          <w:rFonts w:ascii="Arial" w:hAnsi="Arial" w:cs="Arial"/>
          <w:sz w:val="24"/>
          <w:szCs w:val="24"/>
        </w:rPr>
        <w:t xml:space="preserve">do valor total dos </w:t>
      </w:r>
      <w:r w:rsidR="00750241" w:rsidRPr="00AF33DF">
        <w:rPr>
          <w:rFonts w:ascii="Arial" w:hAnsi="Arial" w:cs="Arial"/>
          <w:sz w:val="24"/>
          <w:szCs w:val="24"/>
        </w:rPr>
        <w:tab/>
      </w:r>
      <w:r w:rsidRPr="00AF33DF">
        <w:rPr>
          <w:rFonts w:ascii="Arial" w:hAnsi="Arial" w:cs="Arial"/>
          <w:sz w:val="24"/>
          <w:szCs w:val="24"/>
        </w:rPr>
        <w:t>créditos a serem transacionados;</w:t>
      </w:r>
    </w:p>
    <w:p w14:paraId="23CFEE62" w14:textId="3EFD588B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ab/>
        <w:t xml:space="preserve">II - conceda prazo de parcelamento dos créditos superior a cento e </w:t>
      </w:r>
      <w:r w:rsidRPr="00AF33DF">
        <w:rPr>
          <w:rFonts w:ascii="Arial" w:hAnsi="Arial" w:cs="Arial"/>
          <w:sz w:val="24"/>
          <w:szCs w:val="24"/>
        </w:rPr>
        <w:tab/>
        <w:t xml:space="preserve">cinquenta meses, exceto se houver cobrança por meio de consignação à renda </w:t>
      </w:r>
      <w:r w:rsidRPr="00AF33DF">
        <w:rPr>
          <w:rFonts w:ascii="Arial" w:hAnsi="Arial" w:cs="Arial"/>
          <w:sz w:val="24"/>
          <w:szCs w:val="24"/>
        </w:rPr>
        <w:tab/>
        <w:t xml:space="preserve">do devedor do Fies; </w:t>
      </w:r>
      <w:proofErr w:type="gramStart"/>
      <w:r w:rsidRPr="00AF33DF">
        <w:rPr>
          <w:rFonts w:ascii="Arial" w:hAnsi="Arial" w:cs="Arial"/>
          <w:sz w:val="24"/>
          <w:szCs w:val="24"/>
        </w:rPr>
        <w:t>ou</w:t>
      </w:r>
      <w:proofErr w:type="gramEnd"/>
    </w:p>
    <w:p w14:paraId="7AF8F459" w14:textId="183AB566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ab/>
        <w:t>III - envolva créditos que não estejam inadimplentes.</w:t>
      </w:r>
    </w:p>
    <w:p w14:paraId="32A4E28A" w14:textId="7B556841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ab/>
        <w:t xml:space="preserve">§ 3º </w:t>
      </w:r>
      <w:bookmarkStart w:id="2" w:name="_Hlk94621420"/>
      <w:r w:rsidRPr="00AF33DF">
        <w:rPr>
          <w:rFonts w:ascii="Arial" w:hAnsi="Arial" w:cs="Arial"/>
          <w:sz w:val="24"/>
          <w:szCs w:val="24"/>
        </w:rPr>
        <w:t xml:space="preserve">Na hipótese de transação que envolva pessoa cadastrada no </w:t>
      </w:r>
      <w:r w:rsidRPr="00AF33DF">
        <w:rPr>
          <w:rFonts w:ascii="Arial" w:hAnsi="Arial" w:cs="Arial"/>
          <w:sz w:val="24"/>
          <w:szCs w:val="24"/>
        </w:rPr>
        <w:tab/>
        <w:t xml:space="preserve">Cadastro Único para Programas Sociais do Governo Federal - </w:t>
      </w:r>
      <w:proofErr w:type="gramStart"/>
      <w:r w:rsidRPr="00AF33DF">
        <w:rPr>
          <w:rFonts w:ascii="Arial" w:hAnsi="Arial" w:cs="Arial"/>
          <w:sz w:val="24"/>
          <w:szCs w:val="24"/>
        </w:rPr>
        <w:t>CadÚnico</w:t>
      </w:r>
      <w:proofErr w:type="gramEnd"/>
      <w:r w:rsidRPr="00AF33DF">
        <w:rPr>
          <w:rFonts w:ascii="Arial" w:hAnsi="Arial" w:cs="Arial"/>
          <w:sz w:val="24"/>
          <w:szCs w:val="24"/>
        </w:rPr>
        <w:t xml:space="preserve"> ou que </w:t>
      </w:r>
      <w:r w:rsidRPr="00AF33DF">
        <w:rPr>
          <w:rFonts w:ascii="Arial" w:hAnsi="Arial" w:cs="Arial"/>
          <w:sz w:val="24"/>
          <w:szCs w:val="24"/>
        </w:rPr>
        <w:tab/>
        <w:t>tenha sido beneficiária do Auxílio Emergencial 2021</w:t>
      </w:r>
      <w:bookmarkEnd w:id="2"/>
      <w:r w:rsidRPr="00AF33DF">
        <w:rPr>
          <w:rFonts w:ascii="Arial" w:hAnsi="Arial" w:cs="Arial"/>
          <w:sz w:val="24"/>
          <w:szCs w:val="24"/>
        </w:rPr>
        <w:t xml:space="preserve">, </w:t>
      </w:r>
      <w:r w:rsidR="001930DC" w:rsidRPr="00AF33DF">
        <w:rPr>
          <w:rFonts w:ascii="Arial" w:hAnsi="Arial" w:cs="Arial"/>
          <w:b/>
          <w:bCs/>
          <w:sz w:val="24"/>
          <w:szCs w:val="24"/>
        </w:rPr>
        <w:t>não se aplica o limite</w:t>
      </w:r>
      <w:r w:rsidRPr="00AF33D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1930DC" w:rsidRPr="00AF33DF">
        <w:rPr>
          <w:rFonts w:ascii="Arial" w:hAnsi="Arial" w:cs="Arial"/>
          <w:b/>
          <w:bCs/>
          <w:sz w:val="24"/>
          <w:szCs w:val="24"/>
        </w:rPr>
        <w:tab/>
      </w:r>
      <w:r w:rsidRPr="00AF33DF">
        <w:rPr>
          <w:rFonts w:ascii="Arial" w:hAnsi="Arial" w:cs="Arial"/>
          <w:b/>
          <w:bCs/>
          <w:sz w:val="24"/>
          <w:szCs w:val="24"/>
        </w:rPr>
        <w:t>que</w:t>
      </w:r>
      <w:r w:rsidR="001930DC" w:rsidRPr="00AF3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33DF">
        <w:rPr>
          <w:rFonts w:ascii="Arial" w:hAnsi="Arial" w:cs="Arial"/>
          <w:b/>
          <w:bCs/>
          <w:sz w:val="24"/>
          <w:szCs w:val="24"/>
        </w:rPr>
        <w:t>trata o inciso I do § 2º</w:t>
      </w:r>
      <w:r w:rsidR="001930DC" w:rsidRPr="00AF33DF">
        <w:rPr>
          <w:rFonts w:ascii="Arial" w:hAnsi="Arial" w:cs="Arial"/>
          <w:b/>
          <w:bCs/>
          <w:sz w:val="24"/>
          <w:szCs w:val="24"/>
        </w:rPr>
        <w:t xml:space="preserve">, </w:t>
      </w:r>
      <w:r w:rsidR="00855CAC" w:rsidRPr="00AF33DF">
        <w:rPr>
          <w:rFonts w:ascii="Arial" w:hAnsi="Arial" w:cs="Arial"/>
          <w:b/>
          <w:bCs/>
          <w:sz w:val="24"/>
          <w:szCs w:val="24"/>
        </w:rPr>
        <w:t>sendo garantida anistia total e irrestrita</w:t>
      </w:r>
      <w:r w:rsidR="00C35D8B" w:rsidRPr="00AF33DF">
        <w:rPr>
          <w:rFonts w:ascii="Arial" w:hAnsi="Arial" w:cs="Arial"/>
          <w:b/>
          <w:bCs/>
          <w:sz w:val="24"/>
          <w:szCs w:val="24"/>
        </w:rPr>
        <w:t xml:space="preserve">, </w:t>
      </w:r>
      <w:r w:rsidR="00C35D8B" w:rsidRPr="00AF33DF">
        <w:rPr>
          <w:rFonts w:ascii="Arial" w:hAnsi="Arial" w:cs="Arial"/>
          <w:b/>
          <w:bCs/>
          <w:sz w:val="24"/>
          <w:szCs w:val="24"/>
        </w:rPr>
        <w:tab/>
        <w:t>independente de manifestação da pessoa beneficiária da anistia.</w:t>
      </w:r>
    </w:p>
    <w:p w14:paraId="24A76229" w14:textId="6966091B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ab/>
        <w:t xml:space="preserve">§ 4º Para fins do disposto no inciso I do caput, os créditos irrecuperáveis </w:t>
      </w:r>
      <w:r w:rsidRPr="00AF33DF">
        <w:rPr>
          <w:rFonts w:ascii="Arial" w:hAnsi="Arial" w:cs="Arial"/>
          <w:sz w:val="24"/>
          <w:szCs w:val="24"/>
        </w:rPr>
        <w:tab/>
        <w:t xml:space="preserve">ou de difícil recuperação incluem aqueles completamente provisionados pela </w:t>
      </w:r>
      <w:r w:rsidRPr="00AF33DF">
        <w:rPr>
          <w:rFonts w:ascii="Arial" w:hAnsi="Arial" w:cs="Arial"/>
          <w:sz w:val="24"/>
          <w:szCs w:val="24"/>
        </w:rPr>
        <w:tab/>
        <w:t>União em seus demonstrativos contábeis.</w:t>
      </w:r>
    </w:p>
    <w:p w14:paraId="24064A57" w14:textId="66C405E6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ab/>
        <w:t xml:space="preserve">§ 5º Na liquidação de contratos inadimplentes por meio de pagamento à </w:t>
      </w:r>
      <w:r w:rsidRPr="00AF33DF">
        <w:rPr>
          <w:rFonts w:ascii="Arial" w:hAnsi="Arial" w:cs="Arial"/>
          <w:sz w:val="24"/>
          <w:szCs w:val="24"/>
        </w:rPr>
        <w:tab/>
        <w:t xml:space="preserve">vista, além dos benefícios estabelecidos no inciso II do caput, é permitida a </w:t>
      </w:r>
      <w:r w:rsidRPr="00AF33DF">
        <w:rPr>
          <w:rFonts w:ascii="Arial" w:hAnsi="Arial" w:cs="Arial"/>
          <w:sz w:val="24"/>
          <w:szCs w:val="24"/>
        </w:rPr>
        <w:tab/>
        <w:t xml:space="preserve">concessão de até </w:t>
      </w:r>
      <w:r w:rsidR="00855CAC" w:rsidRPr="00AF33DF">
        <w:rPr>
          <w:rFonts w:ascii="Arial" w:hAnsi="Arial" w:cs="Arial"/>
          <w:b/>
          <w:bCs/>
          <w:sz w:val="24"/>
          <w:szCs w:val="24"/>
        </w:rPr>
        <w:t>trinta por cento</w:t>
      </w:r>
      <w:r w:rsidR="00855CAC" w:rsidRPr="00AF33DF">
        <w:rPr>
          <w:rFonts w:ascii="Arial" w:hAnsi="Arial" w:cs="Arial"/>
          <w:sz w:val="24"/>
          <w:szCs w:val="24"/>
        </w:rPr>
        <w:t xml:space="preserve"> </w:t>
      </w:r>
      <w:r w:rsidRPr="00AF33DF">
        <w:rPr>
          <w:rFonts w:ascii="Arial" w:hAnsi="Arial" w:cs="Arial"/>
          <w:sz w:val="24"/>
          <w:szCs w:val="24"/>
        </w:rPr>
        <w:t>de desconto no principal da dívida.</w:t>
      </w:r>
    </w:p>
    <w:p w14:paraId="3B5F526C" w14:textId="1FBCA675" w:rsidR="00B27C6C" w:rsidRPr="00AF33DF" w:rsidRDefault="00B27C6C" w:rsidP="00AF33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ab/>
        <w:t xml:space="preserve">§ 6º A proposta de transação aceita não implicará novação dos créditos </w:t>
      </w:r>
      <w:r w:rsidRPr="00AF33DF">
        <w:rPr>
          <w:rFonts w:ascii="Arial" w:hAnsi="Arial" w:cs="Arial"/>
          <w:sz w:val="24"/>
          <w:szCs w:val="24"/>
        </w:rPr>
        <w:tab/>
        <w:t>aos quais se refere.</w:t>
      </w:r>
      <w:r w:rsidR="00FA0923" w:rsidRPr="00AF33DF">
        <w:rPr>
          <w:rFonts w:ascii="Arial" w:hAnsi="Arial" w:cs="Arial"/>
          <w:sz w:val="24"/>
          <w:szCs w:val="24"/>
        </w:rPr>
        <w:t xml:space="preserve">” </w:t>
      </w:r>
      <w:r w:rsidR="00FA0923" w:rsidRPr="00AF33DF">
        <w:rPr>
          <w:rFonts w:ascii="Arial" w:hAnsi="Arial" w:cs="Arial"/>
          <w:b/>
          <w:bCs/>
          <w:sz w:val="24"/>
          <w:szCs w:val="24"/>
        </w:rPr>
        <w:t>(NR</w:t>
      </w:r>
      <w:proofErr w:type="gramStart"/>
      <w:r w:rsidR="00FA0923" w:rsidRPr="00AF33DF">
        <w:rPr>
          <w:rFonts w:ascii="Arial" w:hAnsi="Arial" w:cs="Arial"/>
          <w:b/>
          <w:bCs/>
          <w:sz w:val="24"/>
          <w:szCs w:val="24"/>
        </w:rPr>
        <w:t>)</w:t>
      </w:r>
      <w:proofErr w:type="gramEnd"/>
      <w:r w:rsidRPr="00AF33DF">
        <w:rPr>
          <w:rFonts w:ascii="Arial" w:hAnsi="Arial" w:cs="Arial"/>
          <w:sz w:val="24"/>
          <w:szCs w:val="24"/>
        </w:rPr>
        <w:cr/>
      </w:r>
    </w:p>
    <w:bookmarkEnd w:id="0"/>
    <w:p w14:paraId="3F51B2D7" w14:textId="42F03331" w:rsidR="002E0A11" w:rsidRPr="00AF33DF" w:rsidRDefault="002E0A11" w:rsidP="00AF33D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33DF">
        <w:rPr>
          <w:rFonts w:ascii="Arial" w:hAnsi="Arial" w:cs="Arial"/>
          <w:b/>
          <w:bCs/>
          <w:sz w:val="24"/>
          <w:szCs w:val="24"/>
        </w:rPr>
        <w:t>JUSTIFICAÇÃO</w:t>
      </w:r>
    </w:p>
    <w:p w14:paraId="629E3FFB" w14:textId="77777777" w:rsidR="00AF33DF" w:rsidRPr="00AF33DF" w:rsidRDefault="00FA0923" w:rsidP="00AF33D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 xml:space="preserve">De acordo com Exposição de Motivos EMI nº 00067/2021 MEC ME, o Fies possui 2,4 milhões de contratos formalizados até 2017, somando um saldo devedor de R$ 106,9 bilhões nos agentes financeiros (Caixa e Banco do Brasil), e mais de </w:t>
      </w:r>
      <w:proofErr w:type="gramStart"/>
      <w:r w:rsidRPr="00AF33DF">
        <w:rPr>
          <w:rFonts w:ascii="Arial" w:hAnsi="Arial" w:cs="Arial"/>
          <w:sz w:val="24"/>
          <w:szCs w:val="24"/>
        </w:rPr>
        <w:t>1</w:t>
      </w:r>
      <w:proofErr w:type="gramEnd"/>
      <w:r w:rsidRPr="00AF33DF">
        <w:rPr>
          <w:rFonts w:ascii="Arial" w:hAnsi="Arial" w:cs="Arial"/>
          <w:sz w:val="24"/>
          <w:szCs w:val="24"/>
        </w:rPr>
        <w:t xml:space="preserve"> milhão de estudantes financiados inadimplentes, representando uma taxa de inadimplência de 48,8% (mais de noventa dias de atraso na fase de amortização), somando R$ 7,3 bilhões em prestações não pagas pelos financiados, o que equivale a 6,82% do saldo devedor total. </w:t>
      </w:r>
    </w:p>
    <w:p w14:paraId="7EAE28EC" w14:textId="77777777" w:rsidR="00AF33DF" w:rsidRPr="00AF33DF" w:rsidRDefault="00FA0923" w:rsidP="00AF33D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lastRenderedPageBreak/>
        <w:t xml:space="preserve">Não há como desconsiderar que a elevada taxa de inadimplência no âmbito do FIES guarda relação com as elevadas taxas de desemprego, desalento e pobreza, derivadas da imposição da agenda neoliberal </w:t>
      </w:r>
      <w:r w:rsidR="00CB400F" w:rsidRPr="00AF33DF">
        <w:rPr>
          <w:rFonts w:ascii="Arial" w:hAnsi="Arial" w:cs="Arial"/>
          <w:sz w:val="24"/>
          <w:szCs w:val="24"/>
        </w:rPr>
        <w:t>a partir de 2016</w:t>
      </w:r>
      <w:r w:rsidRPr="00AF33DF">
        <w:rPr>
          <w:rFonts w:ascii="Arial" w:hAnsi="Arial" w:cs="Arial"/>
          <w:sz w:val="24"/>
          <w:szCs w:val="24"/>
        </w:rPr>
        <w:t xml:space="preserve"> e do fracasso do governo Bolsonaro na mitigação dos impactos da pandemia de Covid-19. Um ranking da agência de classificação de risco Austin Rating, divulgado em novembro de 2021, demonstra que a taxa de desemprego do Brasil é a 4ª maior entre as principais economias do mundo, o dobro da média mundial e a pior entre os membros do G20.</w:t>
      </w:r>
      <w:r w:rsidR="00AF33DF" w:rsidRPr="00AF33DF">
        <w:rPr>
          <w:rFonts w:ascii="Arial" w:hAnsi="Arial" w:cs="Arial"/>
          <w:sz w:val="24"/>
          <w:szCs w:val="24"/>
        </w:rPr>
        <w:t xml:space="preserve"> </w:t>
      </w:r>
    </w:p>
    <w:p w14:paraId="1EA6F135" w14:textId="77777777" w:rsidR="00AF33DF" w:rsidRPr="00AF33DF" w:rsidRDefault="00FA0923" w:rsidP="00AF33D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 xml:space="preserve">Há que se encontrar soluções, portanto, para os beneficiários do FIES, que buscam tão somente realizar o sonho de concluir o ensino superior e adentrar no mercado de trabalho sem um imenso passivo em dívidas relativas ao financiamento estudantil. </w:t>
      </w:r>
    </w:p>
    <w:p w14:paraId="5015895E" w14:textId="77777777" w:rsidR="00AF33DF" w:rsidRPr="00AF33DF" w:rsidRDefault="00FA0923" w:rsidP="00AF33D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 xml:space="preserve">Ao permitir que os estudantes que aderiram ao FIES até o segundo semestre de 2017 e estão com débitos vencidos e não pagos há mais de </w:t>
      </w:r>
      <w:proofErr w:type="gramStart"/>
      <w:r w:rsidRPr="00AF33DF">
        <w:rPr>
          <w:rFonts w:ascii="Arial" w:hAnsi="Arial" w:cs="Arial"/>
          <w:sz w:val="24"/>
          <w:szCs w:val="24"/>
        </w:rPr>
        <w:t>1</w:t>
      </w:r>
      <w:proofErr w:type="gramEnd"/>
      <w:r w:rsidRPr="00AF33DF">
        <w:rPr>
          <w:rFonts w:ascii="Arial" w:hAnsi="Arial" w:cs="Arial"/>
          <w:sz w:val="24"/>
          <w:szCs w:val="24"/>
        </w:rPr>
        <w:t xml:space="preserve"> ano tenham abatimento de até 86,5% do valor devido, e abatimento de até 92% quando cadastrados no CadÚnico ou quando tenham sido beneficiados pelo auxílio emergencial, a Medida Provisória busca dialogar com a realidade desses estudantes, mas de modo insuficiente e fiscalista, uma vez que o abatimento do principal da dívida somente se dará em casos em que o crédito for considerado irrecuperável ou de difícil recuperação. </w:t>
      </w:r>
    </w:p>
    <w:p w14:paraId="2F5A8402" w14:textId="77777777" w:rsidR="00AF33DF" w:rsidRPr="00AF33DF" w:rsidRDefault="00FA0923" w:rsidP="00AF33D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>A MP estabelece que, na liquidação de contratos inadimplentes por meio de pagamento à vista, é permitida a concessão de até doze por cento de desconto no principal da dívida, um desconto extremamente inferior ao permitido para créditos considerados irrecuperáveis ou de difícil recuperação. Nos demais casos, a MP prevê apenas a concessão de descontos nos juros contratuais, nas multas, nos juros de mora e nos encargos legais.</w:t>
      </w:r>
    </w:p>
    <w:p w14:paraId="49617200" w14:textId="77777777" w:rsidR="00AF33DF" w:rsidRPr="00AF33DF" w:rsidRDefault="00FA0923" w:rsidP="00AF33D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 xml:space="preserve">Faz-se importante destacar que o Senador Rogério Carvalho (PT/SE) é autor do Projeto de Lei n° 4093, de 2021, que concede anistia total e irrestrita dos débitos havidos por estudantes em razão da contratação de operação de financiamento por meio do Fundo de Financiamento Estudantil (Fies), abrangendo valor principal, juros, multas e demais encargos financeiros, independente de manifestação do beneficiário, e abrangendo qualquer débito </w:t>
      </w:r>
      <w:r w:rsidRPr="00AF33DF">
        <w:rPr>
          <w:rFonts w:ascii="Arial" w:hAnsi="Arial" w:cs="Arial"/>
          <w:sz w:val="24"/>
          <w:szCs w:val="24"/>
        </w:rPr>
        <w:lastRenderedPageBreak/>
        <w:t xml:space="preserve">existente com o Fies, inclusive anterior à vigência Lei nº 10.260, de 12 de julho de 2001, bem como todos os financiamentos contraídos até 31 de dezembro de 2021. </w:t>
      </w:r>
    </w:p>
    <w:p w14:paraId="62926E94" w14:textId="77777777" w:rsidR="00AF33DF" w:rsidRPr="00AF33DF" w:rsidRDefault="00FA0923" w:rsidP="00AF33D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 xml:space="preserve">Recentemente, o ex-presidente Lula </w:t>
      </w:r>
      <w:proofErr w:type="gramStart"/>
      <w:r w:rsidRPr="00AF33DF">
        <w:rPr>
          <w:rFonts w:ascii="Arial" w:hAnsi="Arial" w:cs="Arial"/>
          <w:sz w:val="24"/>
          <w:szCs w:val="24"/>
        </w:rPr>
        <w:t>lembrou do</w:t>
      </w:r>
      <w:proofErr w:type="gramEnd"/>
      <w:r w:rsidRPr="00AF33DF">
        <w:rPr>
          <w:rFonts w:ascii="Arial" w:hAnsi="Arial" w:cs="Arial"/>
          <w:sz w:val="24"/>
          <w:szCs w:val="24"/>
        </w:rPr>
        <w:t xml:space="preserve"> drama dos jovens que não conseguem pagar o Fies durante discurso em uma das mais prestigiadas universidades do mundo, a Sciences Po, na França. Ao dizer que “não existe na humanidade exemplo de país que se desenvolveu sem investir em educação”, o ex-presidente lembrou que </w:t>
      </w:r>
      <w:proofErr w:type="gramStart"/>
      <w:r w:rsidRPr="00AF33DF">
        <w:rPr>
          <w:rFonts w:ascii="Arial" w:hAnsi="Arial" w:cs="Arial"/>
          <w:sz w:val="24"/>
          <w:szCs w:val="24"/>
        </w:rPr>
        <w:t>políticas educacionais como o Fies</w:t>
      </w:r>
      <w:proofErr w:type="gramEnd"/>
      <w:r w:rsidRPr="00AF33DF">
        <w:rPr>
          <w:rFonts w:ascii="Arial" w:hAnsi="Arial" w:cs="Arial"/>
          <w:sz w:val="24"/>
          <w:szCs w:val="24"/>
        </w:rPr>
        <w:t xml:space="preserve"> “mudaram a cara do Brasil”.</w:t>
      </w:r>
      <w:r w:rsidR="00CB400F" w:rsidRPr="00AF33DF">
        <w:rPr>
          <w:rFonts w:ascii="Arial" w:hAnsi="Arial" w:cs="Arial"/>
          <w:sz w:val="24"/>
          <w:szCs w:val="24"/>
        </w:rPr>
        <w:tab/>
      </w:r>
      <w:r w:rsidRPr="00AF33DF">
        <w:rPr>
          <w:rFonts w:ascii="Arial" w:hAnsi="Arial" w:cs="Arial"/>
          <w:sz w:val="24"/>
          <w:szCs w:val="24"/>
        </w:rPr>
        <w:t xml:space="preserve"> </w:t>
      </w:r>
    </w:p>
    <w:p w14:paraId="21532E51" w14:textId="77777777" w:rsidR="00AF33DF" w:rsidRPr="00AF33DF" w:rsidRDefault="00FA0923" w:rsidP="00AF33D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 xml:space="preserve">“Qual é o incômodo </w:t>
      </w:r>
      <w:proofErr w:type="gramStart"/>
      <w:r w:rsidRPr="00AF33DF">
        <w:rPr>
          <w:rFonts w:ascii="Arial" w:hAnsi="Arial" w:cs="Arial"/>
          <w:sz w:val="24"/>
          <w:szCs w:val="24"/>
        </w:rPr>
        <w:t>pro governo</w:t>
      </w:r>
      <w:proofErr w:type="gramEnd"/>
      <w:r w:rsidRPr="00AF33DF">
        <w:rPr>
          <w:rFonts w:ascii="Arial" w:hAnsi="Arial" w:cs="Arial"/>
          <w:sz w:val="24"/>
          <w:szCs w:val="24"/>
        </w:rPr>
        <w:t xml:space="preserve"> anistiar a dívida de jovens que não conseguiram pagar a universidade, se todo ano fazíamos Refis [Programa de Recuperação Fiscal] para anistiar os empresários que não pagavam seus impostos e a gente os perdoava?”, disse Lula. “Um governo que sabe fazer tanto perdão para empresários, por </w:t>
      </w:r>
      <w:proofErr w:type="gramStart"/>
      <w:r w:rsidRPr="00AF33DF">
        <w:rPr>
          <w:rFonts w:ascii="Arial" w:hAnsi="Arial" w:cs="Arial"/>
          <w:sz w:val="24"/>
          <w:szCs w:val="24"/>
        </w:rPr>
        <w:t>que que</w:t>
      </w:r>
      <w:proofErr w:type="gramEnd"/>
      <w:r w:rsidRPr="00AF33DF">
        <w:rPr>
          <w:rFonts w:ascii="Arial" w:hAnsi="Arial" w:cs="Arial"/>
          <w:sz w:val="24"/>
          <w:szCs w:val="24"/>
        </w:rPr>
        <w:t xml:space="preserve"> não pode fazer uma vez na vida perdão para os estudantes que tomaram dinheiro emprestado para estudar?”.</w:t>
      </w:r>
    </w:p>
    <w:p w14:paraId="006599D9" w14:textId="0A2135DE" w:rsidR="00FA0923" w:rsidRDefault="00CB400F" w:rsidP="00AF33D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>A presente emenda</w:t>
      </w:r>
      <w:r w:rsidR="00FA0923" w:rsidRPr="00AF33DF">
        <w:rPr>
          <w:rFonts w:ascii="Arial" w:hAnsi="Arial" w:cs="Arial"/>
          <w:sz w:val="24"/>
          <w:szCs w:val="24"/>
        </w:rPr>
        <w:t xml:space="preserve">, portanto, </w:t>
      </w:r>
      <w:r w:rsidRPr="00AF33DF">
        <w:rPr>
          <w:rFonts w:ascii="Arial" w:hAnsi="Arial" w:cs="Arial"/>
          <w:sz w:val="24"/>
          <w:szCs w:val="24"/>
        </w:rPr>
        <w:t>busca</w:t>
      </w:r>
      <w:r w:rsidR="00FA0923" w:rsidRPr="00AF33DF">
        <w:rPr>
          <w:rFonts w:ascii="Arial" w:hAnsi="Arial" w:cs="Arial"/>
          <w:sz w:val="24"/>
          <w:szCs w:val="24"/>
        </w:rPr>
        <w:t xml:space="preserve"> garantir anistia </w:t>
      </w:r>
      <w:r w:rsidRPr="00AF33DF">
        <w:rPr>
          <w:rFonts w:ascii="Arial" w:hAnsi="Arial" w:cs="Arial"/>
          <w:sz w:val="24"/>
          <w:szCs w:val="24"/>
        </w:rPr>
        <w:t xml:space="preserve">total e </w:t>
      </w:r>
      <w:r w:rsidR="00FA0923" w:rsidRPr="00AF33DF">
        <w:rPr>
          <w:rFonts w:ascii="Arial" w:hAnsi="Arial" w:cs="Arial"/>
          <w:sz w:val="24"/>
          <w:szCs w:val="24"/>
        </w:rPr>
        <w:t>irrestrita</w:t>
      </w:r>
      <w:r w:rsidRPr="00AF33DF">
        <w:rPr>
          <w:rFonts w:ascii="Arial" w:hAnsi="Arial" w:cs="Arial"/>
          <w:sz w:val="24"/>
          <w:szCs w:val="24"/>
        </w:rPr>
        <w:t xml:space="preserve"> na hipótese de transação que envolva pessoa cadastrada no Cadastro Único para Programas Sociais do Governo Federal - </w:t>
      </w:r>
      <w:proofErr w:type="gramStart"/>
      <w:r w:rsidRPr="00AF33DF">
        <w:rPr>
          <w:rFonts w:ascii="Arial" w:hAnsi="Arial" w:cs="Arial"/>
          <w:sz w:val="24"/>
          <w:szCs w:val="24"/>
        </w:rPr>
        <w:t>CadÚnico</w:t>
      </w:r>
      <w:proofErr w:type="gramEnd"/>
      <w:r w:rsidRPr="00AF33DF">
        <w:rPr>
          <w:rFonts w:ascii="Arial" w:hAnsi="Arial" w:cs="Arial"/>
          <w:sz w:val="24"/>
          <w:szCs w:val="24"/>
        </w:rPr>
        <w:t xml:space="preserve"> ou que tenha sido beneficiária do Auxílio Emergencial 2021, </w:t>
      </w:r>
      <w:r w:rsidR="006A2CD9" w:rsidRPr="00AF33DF">
        <w:rPr>
          <w:rFonts w:ascii="Arial" w:hAnsi="Arial" w:cs="Arial"/>
          <w:sz w:val="24"/>
          <w:szCs w:val="24"/>
        </w:rPr>
        <w:t xml:space="preserve">e </w:t>
      </w:r>
      <w:r w:rsidR="00FA0923" w:rsidRPr="00AF33DF">
        <w:rPr>
          <w:rFonts w:ascii="Arial" w:hAnsi="Arial" w:cs="Arial"/>
          <w:sz w:val="24"/>
          <w:szCs w:val="24"/>
        </w:rPr>
        <w:t>permitir que, ainda que os créditos não sejam considerados irrecuperáveis ou de difícil recuperação, haja abatimento do valor do principal</w:t>
      </w:r>
      <w:r w:rsidRPr="00AF33DF">
        <w:rPr>
          <w:rFonts w:ascii="Arial" w:hAnsi="Arial" w:cs="Arial"/>
          <w:sz w:val="24"/>
          <w:szCs w:val="24"/>
        </w:rPr>
        <w:t xml:space="preserve">. </w:t>
      </w:r>
    </w:p>
    <w:p w14:paraId="69AFEF1D" w14:textId="77777777" w:rsidR="00AF33DF" w:rsidRPr="00AF33DF" w:rsidRDefault="000C7DD9" w:rsidP="00AF33DF">
      <w:pPr>
        <w:spacing w:line="36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AF33DF">
        <w:rPr>
          <w:rFonts w:ascii="Arial" w:hAnsi="Arial" w:cs="Arial"/>
          <w:sz w:val="24"/>
          <w:szCs w:val="24"/>
        </w:rPr>
        <w:t xml:space="preserve"> </w:t>
      </w:r>
      <w:r w:rsidR="00AF33DF" w:rsidRPr="00AF33DF">
        <w:rPr>
          <w:rFonts w:ascii="Arial" w:eastAsia="Calibri" w:hAnsi="Arial" w:cs="Arial"/>
          <w:sz w:val="24"/>
          <w:szCs w:val="24"/>
        </w:rPr>
        <w:t>Portanto, com o objetivo de contribuir com a proposição apresentamos a presente emenda, e contamos com o apoio dos pares para a aprovação.</w:t>
      </w:r>
    </w:p>
    <w:p w14:paraId="31E8312C" w14:textId="77777777" w:rsidR="00AF33DF" w:rsidRPr="00AF33DF" w:rsidRDefault="00AF33DF" w:rsidP="00AF33DF">
      <w:pPr>
        <w:tabs>
          <w:tab w:val="left" w:pos="1418"/>
          <w:tab w:val="left" w:pos="1680"/>
          <w:tab w:val="left" w:pos="1843"/>
        </w:tabs>
        <w:suppressAutoHyphens/>
        <w:spacing w:after="120" w:line="360" w:lineRule="auto"/>
        <w:ind w:firstLine="1418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F33DF">
        <w:rPr>
          <w:rFonts w:ascii="Arial" w:eastAsia="Times New Roman" w:hAnsi="Arial" w:cs="Arial"/>
          <w:bCs/>
          <w:sz w:val="24"/>
          <w:szCs w:val="24"/>
          <w:lang w:eastAsia="pt-BR"/>
        </w:rPr>
        <w:t>Sala das Comissões, 03 de fevereiro de 2022.</w:t>
      </w:r>
    </w:p>
    <w:p w14:paraId="33B32AF8" w14:textId="77777777" w:rsidR="00AF33DF" w:rsidRPr="00AF33DF" w:rsidRDefault="00AF33DF" w:rsidP="00AF33DF">
      <w:pPr>
        <w:tabs>
          <w:tab w:val="left" w:pos="1418"/>
          <w:tab w:val="left" w:pos="1680"/>
          <w:tab w:val="left" w:pos="1843"/>
        </w:tabs>
        <w:suppressAutoHyphens/>
        <w:spacing w:after="120" w:line="360" w:lineRule="auto"/>
        <w:ind w:firstLine="1418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A7C0A85" w14:textId="77777777" w:rsidR="00AF33DF" w:rsidRPr="00AF33DF" w:rsidRDefault="00AF33DF" w:rsidP="00AF33DF">
      <w:pPr>
        <w:tabs>
          <w:tab w:val="left" w:pos="1418"/>
          <w:tab w:val="left" w:pos="1680"/>
          <w:tab w:val="left" w:pos="1843"/>
        </w:tabs>
        <w:suppressAutoHyphens/>
        <w:spacing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AF33D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JOSÉ RICARDO</w:t>
      </w:r>
    </w:p>
    <w:p w14:paraId="2D98084C" w14:textId="3B084E5C" w:rsidR="006939B5" w:rsidRPr="00AF33DF" w:rsidRDefault="00AF33DF" w:rsidP="00AF33DF">
      <w:pPr>
        <w:tabs>
          <w:tab w:val="left" w:pos="1418"/>
          <w:tab w:val="left" w:pos="1680"/>
          <w:tab w:val="left" w:pos="1843"/>
          <w:tab w:val="center" w:pos="4252"/>
          <w:tab w:val="left" w:pos="6716"/>
        </w:tabs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AF33DF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AF33DF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AF33DF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AF33DF">
        <w:rPr>
          <w:rFonts w:ascii="Arial" w:eastAsia="Times New Roman" w:hAnsi="Arial" w:cs="Arial"/>
          <w:bCs/>
          <w:sz w:val="24"/>
          <w:szCs w:val="24"/>
          <w:lang w:eastAsia="pt-BR"/>
        </w:rPr>
        <w:tab/>
        <w:t>DEPUTADO FEDERAL PT/AM</w:t>
      </w:r>
      <w:r w:rsidRPr="00AF33D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bookmarkStart w:id="3" w:name="_GoBack"/>
      <w:bookmarkEnd w:id="3"/>
    </w:p>
    <w:p w14:paraId="43C99E47" w14:textId="77777777" w:rsidR="00AF33DF" w:rsidRPr="00AF33DF" w:rsidRDefault="00AF33DF">
      <w:pPr>
        <w:jc w:val="both"/>
        <w:rPr>
          <w:rFonts w:ascii="Arial" w:hAnsi="Arial" w:cs="Arial"/>
          <w:sz w:val="24"/>
          <w:szCs w:val="24"/>
        </w:rPr>
      </w:pPr>
    </w:p>
    <w:sectPr w:rsidR="00AF33DF" w:rsidRPr="00AF33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22CE5" w14:textId="77777777" w:rsidR="00AF33DF" w:rsidRDefault="00AF33DF" w:rsidP="00AF33DF">
      <w:pPr>
        <w:spacing w:after="0" w:line="240" w:lineRule="auto"/>
      </w:pPr>
      <w:r>
        <w:separator/>
      </w:r>
    </w:p>
  </w:endnote>
  <w:endnote w:type="continuationSeparator" w:id="0">
    <w:p w14:paraId="1919BA93" w14:textId="77777777" w:rsidR="00AF33DF" w:rsidRDefault="00AF33DF" w:rsidP="00AF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CAC3B" w14:textId="77777777" w:rsidR="00AF33DF" w:rsidRDefault="00AF33DF" w:rsidP="00AF33DF">
      <w:pPr>
        <w:spacing w:after="0" w:line="240" w:lineRule="auto"/>
      </w:pPr>
      <w:r>
        <w:separator/>
      </w:r>
    </w:p>
  </w:footnote>
  <w:footnote w:type="continuationSeparator" w:id="0">
    <w:p w14:paraId="6386D60A" w14:textId="77777777" w:rsidR="00AF33DF" w:rsidRDefault="00AF33DF" w:rsidP="00AF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BBB" w14:textId="77777777" w:rsidR="00AF33DF" w:rsidRPr="00AF33DF" w:rsidRDefault="00AF33DF" w:rsidP="00AF33DF">
    <w:pPr>
      <w:tabs>
        <w:tab w:val="center" w:pos="4252"/>
        <w:tab w:val="right" w:pos="8504"/>
      </w:tabs>
      <w:spacing w:after="0" w:line="240" w:lineRule="auto"/>
      <w:ind w:firstLine="1250"/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</w:pPr>
    <w:r w:rsidRPr="00AF33DF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 xml:space="preserve">            Câmara dos Deputados</w:t>
    </w:r>
    <w:r w:rsidRPr="00AF33DF">
      <w:rPr>
        <w:rFonts w:ascii="Calibri" w:eastAsia="Calibri" w:hAnsi="Calibri" w:cs="Calibri"/>
        <w:noProof/>
        <w:lang w:eastAsia="pt-BR"/>
      </w:rPr>
      <w:drawing>
        <wp:anchor distT="0" distB="0" distL="0" distR="0" simplePos="0" relativeHeight="251659264" behindDoc="1" locked="0" layoutInCell="0" allowOverlap="1" wp14:anchorId="114E6B5D" wp14:editId="087992E6">
          <wp:simplePos x="0" y="0"/>
          <wp:positionH relativeFrom="column">
            <wp:posOffset>-99060</wp:posOffset>
          </wp:positionH>
          <wp:positionV relativeFrom="paragraph">
            <wp:posOffset>-211455</wp:posOffset>
          </wp:positionV>
          <wp:extent cx="734060" cy="762000"/>
          <wp:effectExtent l="0" t="0" r="889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7F9A47" w14:textId="77777777" w:rsidR="00AF33DF" w:rsidRPr="00AF33DF" w:rsidRDefault="00AF33DF" w:rsidP="00AF33DF">
    <w:pPr>
      <w:tabs>
        <w:tab w:val="center" w:pos="4252"/>
        <w:tab w:val="right" w:pos="8504"/>
      </w:tabs>
      <w:spacing w:after="0" w:line="240" w:lineRule="auto"/>
      <w:ind w:firstLine="708"/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</w:pPr>
    <w:r w:rsidRPr="00AF33DF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 xml:space="preserve">                      </w:t>
    </w:r>
    <w:proofErr w:type="gramStart"/>
    <w:r w:rsidRPr="00AF33DF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>deputado</w:t>
    </w:r>
    <w:proofErr w:type="gramEnd"/>
    <w:r w:rsidRPr="00AF33DF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 xml:space="preserve"> federal José Ricardo </w:t>
    </w:r>
    <w:proofErr w:type="spellStart"/>
    <w:r w:rsidRPr="00AF33DF">
      <w:rPr>
        <w:rFonts w:ascii="Arial" w:eastAsia="Arial" w:hAnsi="Arial" w:cs="Arial"/>
        <w:b/>
        <w:smallCaps/>
        <w:color w:val="000000"/>
        <w:sz w:val="28"/>
        <w:szCs w:val="28"/>
        <w:lang w:eastAsia="pt-BR"/>
      </w:rPr>
      <w:t>Wendling</w:t>
    </w:r>
    <w:proofErr w:type="spellEnd"/>
  </w:p>
  <w:p w14:paraId="339DCC20" w14:textId="77777777" w:rsidR="00AF33DF" w:rsidRDefault="00AF33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2F"/>
    <w:rsid w:val="000A0A2F"/>
    <w:rsid w:val="000C7DD9"/>
    <w:rsid w:val="001930DC"/>
    <w:rsid w:val="001F2F76"/>
    <w:rsid w:val="00250AAD"/>
    <w:rsid w:val="002D438C"/>
    <w:rsid w:val="002E0A11"/>
    <w:rsid w:val="00620798"/>
    <w:rsid w:val="0063472E"/>
    <w:rsid w:val="00667D0C"/>
    <w:rsid w:val="00682C52"/>
    <w:rsid w:val="006939B5"/>
    <w:rsid w:val="006A2CD9"/>
    <w:rsid w:val="00750241"/>
    <w:rsid w:val="007F413F"/>
    <w:rsid w:val="00855CAC"/>
    <w:rsid w:val="0087591C"/>
    <w:rsid w:val="008B7BB0"/>
    <w:rsid w:val="00AF33DF"/>
    <w:rsid w:val="00B22909"/>
    <w:rsid w:val="00B27C6C"/>
    <w:rsid w:val="00B3254B"/>
    <w:rsid w:val="00C13124"/>
    <w:rsid w:val="00C35D8B"/>
    <w:rsid w:val="00CB400F"/>
    <w:rsid w:val="00D222FE"/>
    <w:rsid w:val="00D47720"/>
    <w:rsid w:val="00D770F2"/>
    <w:rsid w:val="00F30BA9"/>
    <w:rsid w:val="00FA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9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3DF"/>
  </w:style>
  <w:style w:type="paragraph" w:styleId="Rodap">
    <w:name w:val="footer"/>
    <w:basedOn w:val="Normal"/>
    <w:link w:val="RodapChar"/>
    <w:uiPriority w:val="99"/>
    <w:unhideWhenUsed/>
    <w:rsid w:val="00AF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3DF"/>
  </w:style>
  <w:style w:type="paragraph" w:styleId="Rodap">
    <w:name w:val="footer"/>
    <w:basedOn w:val="Normal"/>
    <w:link w:val="RodapChar"/>
    <w:uiPriority w:val="99"/>
    <w:unhideWhenUsed/>
    <w:rsid w:val="00AF3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Costa</dc:creator>
  <cp:lastModifiedBy>Vanderlei Aparecido de Macedo</cp:lastModifiedBy>
  <cp:revision>2</cp:revision>
  <dcterms:created xsi:type="dcterms:W3CDTF">2022-02-03T16:45:00Z</dcterms:created>
  <dcterms:modified xsi:type="dcterms:W3CDTF">2022-02-03T16:45:00Z</dcterms:modified>
</cp:coreProperties>
</file>